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CF" w:rsidRPr="007864CF" w:rsidRDefault="007864CF" w:rsidP="007864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1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958"/>
      </w:tblGrid>
      <w:tr w:rsidR="007864CF" w:rsidRPr="007864CF" w:rsidTr="0035617C">
        <w:tc>
          <w:tcPr>
            <w:tcW w:w="6204" w:type="dxa"/>
          </w:tcPr>
          <w:p w:rsidR="007864CF" w:rsidRPr="007864CF" w:rsidRDefault="007864CF" w:rsidP="007864CF">
            <w:pPr>
              <w:rPr>
                <w:rFonts w:ascii="Times New Roman" w:hAnsi="Times New Roman"/>
              </w:rPr>
            </w:pPr>
          </w:p>
        </w:tc>
        <w:tc>
          <w:tcPr>
            <w:tcW w:w="4958" w:type="dxa"/>
            <w:hideMark/>
          </w:tcPr>
          <w:p w:rsidR="007864CF" w:rsidRPr="007864CF" w:rsidRDefault="007864CF" w:rsidP="0035617C">
            <w:pPr>
              <w:rPr>
                <w:rFonts w:ascii="Times New Roman" w:hAnsi="Times New Roman"/>
              </w:rPr>
            </w:pPr>
            <w:r w:rsidRPr="007864CF">
              <w:rPr>
                <w:rFonts w:ascii="Times New Roman" w:hAnsi="Times New Roman"/>
              </w:rPr>
              <w:t>Утверждено</w:t>
            </w:r>
          </w:p>
          <w:p w:rsidR="007864CF" w:rsidRPr="007864CF" w:rsidRDefault="0035617C" w:rsidP="00356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  <w:r w:rsidR="007864CF" w:rsidRPr="007864CF">
              <w:rPr>
                <w:rFonts w:ascii="Times New Roman" w:hAnsi="Times New Roman"/>
              </w:rPr>
              <w:t xml:space="preserve"> МБОУ СШ № 69</w:t>
            </w:r>
          </w:p>
          <w:p w:rsidR="007864CF" w:rsidRPr="007864CF" w:rsidRDefault="0035617C" w:rsidP="00C463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4638B" w:rsidRPr="00C4638B">
              <w:rPr>
                <w:rFonts w:ascii="Times New Roman" w:hAnsi="Times New Roman"/>
                <w:i/>
                <w:u w:val="single"/>
              </w:rPr>
              <w:t>29.11.2021</w:t>
            </w:r>
            <w:r>
              <w:rPr>
                <w:rFonts w:ascii="Times New Roman" w:hAnsi="Times New Roman"/>
              </w:rPr>
              <w:t xml:space="preserve"> № </w:t>
            </w:r>
            <w:r w:rsidR="00C4638B" w:rsidRPr="00C4638B">
              <w:rPr>
                <w:rFonts w:ascii="Times New Roman" w:hAnsi="Times New Roman"/>
                <w:i/>
                <w:u w:val="single"/>
              </w:rPr>
              <w:t>450</w:t>
            </w:r>
          </w:p>
        </w:tc>
      </w:tr>
    </w:tbl>
    <w:p w:rsidR="007864CF" w:rsidRPr="007864CF" w:rsidRDefault="007864CF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7864CF" w:rsidRPr="00E07F0F" w:rsidRDefault="007864CF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35617C" w:rsidRDefault="0035617C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35617C" w:rsidRPr="00C4638B" w:rsidRDefault="0035617C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547D5" w:rsidRPr="008547D5" w:rsidRDefault="005936E9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Положение </w:t>
      </w:r>
    </w:p>
    <w:p w:rsidR="0035617C" w:rsidRDefault="005936E9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о конкурсе </w:t>
      </w:r>
    </w:p>
    <w:p w:rsidR="004419F8" w:rsidRPr="008547D5" w:rsidRDefault="005936E9" w:rsidP="00541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«</w:t>
      </w:r>
      <w:proofErr w:type="gramStart"/>
      <w:r w:rsidR="00541484"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Лучший</w:t>
      </w:r>
      <w:proofErr w:type="gramEnd"/>
      <w:r w:rsidR="00541484"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E30831"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ЦОР</w:t>
      </w:r>
      <w:r w:rsidR="00541484"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в области обучения и воспитания</w:t>
      </w:r>
      <w:r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»</w:t>
      </w:r>
      <w:r w:rsidR="00541484" w:rsidRPr="00854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6E9" w:rsidRPr="008547D5" w:rsidRDefault="00541484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8547D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среди педагогов МБОУ СШ № 69</w:t>
      </w:r>
    </w:p>
    <w:p w:rsidR="005936E9" w:rsidRPr="008547D5" w:rsidRDefault="005936E9" w:rsidP="005936E9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5936E9" w:rsidRPr="004419F8" w:rsidRDefault="005936E9" w:rsidP="005936E9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5936E9" w:rsidRPr="004419F8" w:rsidRDefault="005936E9" w:rsidP="00541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I. Общие положения</w:t>
      </w:r>
    </w:p>
    <w:p w:rsidR="005936E9" w:rsidRPr="004419F8" w:rsidRDefault="005936E9" w:rsidP="00541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1.1. Настоящее Положение определяет общий порядок организации и проведения конкурса. </w:t>
      </w:r>
    </w:p>
    <w:p w:rsidR="005936E9" w:rsidRPr="004419F8" w:rsidRDefault="005936E9" w:rsidP="00541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1.2. Организатором Конкурса является администрация МБОУ СШ № 69.</w:t>
      </w:r>
    </w:p>
    <w:p w:rsidR="00541484" w:rsidRPr="004419F8" w:rsidRDefault="005936E9" w:rsidP="00541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1.3. Цел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и</w:t>
      </w:r>
      <w:r w:rsidR="007864C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конкурса: выявление</w:t>
      </w:r>
      <w:r w:rsidR="007864CF" w:rsidRPr="007864C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педагогов</w:t>
      </w:r>
      <w:r w:rsidR="007864C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 творчески работающих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области разработки и использования мультимедийных технологий, </w:t>
      </w:r>
      <w:proofErr w:type="spellStart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медиаресурс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ов</w:t>
      </w:r>
      <w:proofErr w:type="spellEnd"/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 распространение их опыта</w:t>
      </w:r>
      <w:r w:rsidR="007864C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 их поддержка и поощрение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.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5936E9" w:rsidRPr="004419F8" w:rsidRDefault="005936E9" w:rsidP="00541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Задачи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конкурса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</w:p>
    <w:p w:rsidR="00541484" w:rsidRPr="004419F8" w:rsidRDefault="005936E9" w:rsidP="00541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повышение роли применения информационных и мультимедийных технологий в образовательном процессе; </w:t>
      </w:r>
    </w:p>
    <w:p w:rsidR="005936E9" w:rsidRPr="004419F8" w:rsidRDefault="005936E9" w:rsidP="00541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выявление лучшего опыта 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разработки и 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применения информационных и мультимедийных технологий в </w:t>
      </w:r>
      <w:proofErr w:type="gramStart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образовательным</w:t>
      </w:r>
      <w:proofErr w:type="gramEnd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процессе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5936E9" w:rsidRPr="004419F8" w:rsidRDefault="005936E9" w:rsidP="00541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внедрение новых технологий образования для повышения 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его качества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5936E9" w:rsidRPr="004419F8" w:rsidRDefault="005936E9" w:rsidP="00541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повышение эффективности и качества использования </w:t>
      </w:r>
      <w:proofErr w:type="spellStart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медиаресурсов</w:t>
      </w:r>
      <w:proofErr w:type="spellEnd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образовательном процессе; </w:t>
      </w:r>
    </w:p>
    <w:p w:rsidR="005936E9" w:rsidRPr="004419F8" w:rsidRDefault="005936E9" w:rsidP="00541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содействие активизации работы средств и инструментов мультимедийных технологий, имеющихся в образовательном учреждении и эффективности их применения </w:t>
      </w:r>
    </w:p>
    <w:p w:rsidR="00541484" w:rsidRPr="004419F8" w:rsidRDefault="00541484" w:rsidP="0054148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E9" w:rsidRPr="004419F8" w:rsidRDefault="005936E9" w:rsidP="0054148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II. Порядок проведения</w:t>
      </w:r>
    </w:p>
    <w:p w:rsidR="00541484" w:rsidRPr="004419F8" w:rsidRDefault="005936E9" w:rsidP="005936E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2.1. Конкурс проводится по номинациям: </w:t>
      </w:r>
    </w:p>
    <w:p w:rsidR="00541484" w:rsidRPr="004419F8" w:rsidRDefault="00541484" w:rsidP="005936E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Лучший</w:t>
      </w:r>
      <w:proofErr w:type="gramEnd"/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ЦОР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образовательной деятельности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541484" w:rsidRPr="004419F8" w:rsidRDefault="00541484" w:rsidP="005936E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Лучший</w:t>
      </w:r>
      <w:proofErr w:type="gramEnd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ЦОР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области воспитания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 w:rsidR="00541484" w:rsidRPr="004419F8" w:rsidRDefault="00E30831" w:rsidP="00582C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Лучший</w:t>
      </w:r>
      <w:proofErr w:type="gramEnd"/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ЦОР</w:t>
      </w:r>
      <w:r w:rsidR="00541484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во внеурочной деятельности и дополнительном образовании.</w:t>
      </w:r>
      <w:r w:rsidR="00582CEB" w:rsidRPr="004419F8">
        <w:rPr>
          <w:rFonts w:ascii="Times New Roman" w:hAnsi="Times New Roman" w:cs="Times New Roman"/>
          <w:sz w:val="24"/>
          <w:szCs w:val="24"/>
        </w:rPr>
        <w:t xml:space="preserve"> 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Конкурсная комиссия вправе расширить перечень номинаций в зависимости от представленных материалов. Конкурс является ежегодным и проходит в сроки </w:t>
      </w:r>
      <w:r w:rsidR="00582CEB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октя</w:t>
      </w:r>
      <w:r w:rsidR="00582CEB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по апрель.</w:t>
      </w:r>
    </w:p>
    <w:p w:rsidR="007864CF" w:rsidRPr="007864CF" w:rsidRDefault="005936E9" w:rsidP="007246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2.2. </w:t>
      </w:r>
      <w:r w:rsidR="0072466C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 проводится в 3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этапа: </w:t>
      </w:r>
    </w:p>
    <w:p w:rsidR="007864CF" w:rsidRPr="007864CF" w:rsidRDefault="0072466C" w:rsidP="007246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 – организационный (размещение информации о конкурсе на сайте школы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сбор заявок и определение участников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октябрь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864CF" w:rsidRPr="007864CF" w:rsidRDefault="005936E9" w:rsidP="007246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</w:t>
      </w:r>
      <w:r w:rsidR="0072466C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 </w:t>
      </w:r>
      <w:r w:rsidR="00541484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1484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разработка </w:t>
      </w:r>
      <w:proofErr w:type="spellStart"/>
      <w:r w:rsidR="00541484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медиаресурсов</w:t>
      </w:r>
      <w:proofErr w:type="spellEnd"/>
      <w:r w:rsidR="00541484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ноябрь-ф</w:t>
      </w:r>
      <w:r w:rsidR="00541484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врал</w:t>
      </w:r>
      <w:r w:rsidR="00541484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864CF" w:rsidRPr="007864CF" w:rsidRDefault="005936E9" w:rsidP="007246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II</w:t>
      </w:r>
      <w:r w:rsidR="0072466C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 </w:t>
      </w:r>
      <w:r w:rsidR="00541484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представление и определение победителей и призеров 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март;</w:t>
      </w:r>
      <w:r w:rsidR="0072466C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30831" w:rsidRPr="007864CF" w:rsidRDefault="0072466C" w:rsidP="007246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IV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 – заключительный (краткий отчёт по ор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ганизации и проведению Конкурса,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аграждение победителей и номинантов </w:t>
      </w:r>
      <w:r w:rsidR="00AB2E08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Конкурса сертификатами.</w:t>
      </w:r>
      <w:proofErr w:type="gramEnd"/>
      <w:r w:rsidR="00AB2E08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B2E08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Публика</w:t>
      </w:r>
      <w:r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ция итогов Конкурса на сайте</w:t>
      </w:r>
      <w:r w:rsidR="007864CF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- апрель</w:t>
      </w:r>
      <w:r w:rsidR="005936E9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5936E9" w:rsidRPr="007864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30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результатам заключительного этапа проходит публичная презентация разработанных ЦОР с указанием возможностей их применения (5-7 мин.).</w:t>
      </w:r>
    </w:p>
    <w:p w:rsidR="007864CF" w:rsidRDefault="00582CEB" w:rsidP="00582C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2.3. На Конкурс допускае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тся 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неограниченное количество 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участник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ов, причем один участник может подать заявку на разработку и представление </w:t>
      </w:r>
      <w:proofErr w:type="spellStart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медиаресурса</w:t>
      </w:r>
      <w:proofErr w:type="spellEnd"/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сразу в нескольких номинациях.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="0072466C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Кроме того, участниками конкурса могут быть и группы педагогов</w:t>
      </w:r>
      <w:r w:rsidR="007864C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 привлечением обучающихся и родителей</w:t>
      </w:r>
      <w:r w:rsidR="0072466C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582CEB" w:rsidRPr="004419F8" w:rsidRDefault="007864CF" w:rsidP="00582C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       </w:t>
      </w:r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Цифровой образовательный ресурс</w:t>
      </w:r>
      <w:r w:rsidR="0072466C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(ЦОР)</w:t>
      </w:r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- информационный ресурс, содержащий графическую, текстовую, цифровую, речевую, музыкальную, видео-, фот</w:t>
      </w:r>
      <w:proofErr w:type="gramStart"/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о-</w:t>
      </w:r>
      <w:proofErr w:type="gramEnd"/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и другую информацию, направленную на реализацию целей и задач современного образования.</w:t>
      </w:r>
    </w:p>
    <w:p w:rsidR="004419F8" w:rsidRPr="00E07F0F" w:rsidRDefault="007864CF" w:rsidP="0078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   </w:t>
      </w:r>
      <w:r w:rsidR="004419F8"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участия в конкурсе необходимо: до 1</w:t>
      </w:r>
      <w:r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4419F8"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октя</w:t>
      </w:r>
      <w:r w:rsidR="004419F8"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бря подать заявку, содержащую сведения об авторе (с указанием контактной информации), название ресурса конкурса </w:t>
      </w:r>
      <w:r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r w:rsidR="00E07F0F"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специальный </w:t>
      </w:r>
      <w:r w:rsidRPr="00E07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электронный ящик в соответствии с </w:t>
      </w:r>
      <w:r w:rsidRPr="00E07F0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Приложением</w:t>
      </w:r>
      <w:proofErr w:type="gramStart"/>
      <w:r w:rsidRPr="00E07F0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proofErr w:type="gramEnd"/>
      <w:r w:rsidR="00E07F0F" w:rsidRPr="00E07F0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582CEB" w:rsidRPr="004419F8" w:rsidRDefault="005936E9" w:rsidP="00582C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2.4. Для подготовки и проведения Конкурса создаются оргкомитет и жюри, состав которых утверждается приказом 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директора. </w:t>
      </w:r>
    </w:p>
    <w:p w:rsidR="00582CEB" w:rsidRPr="004419F8" w:rsidRDefault="005936E9" w:rsidP="00582C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2.5. Оргкомитет в пределах своей компетенции: осуществляет непосредственное руководство подготовкой и проведением Конкурса; согласовывает формы, сроки проведения Конкурса; организует разработку заданий Конкурса; организует подготовку протоколов, грамот, дипломов; формирует и обеспечивает состав независимого жюри, экспертн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ой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комисси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и, 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организует награждение победителей и призеров; анализирует и обобщает итоги Конкурса. </w:t>
      </w:r>
    </w:p>
    <w:p w:rsidR="00582CEB" w:rsidRPr="004419F8" w:rsidRDefault="005936E9" w:rsidP="00582C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2.6. Члены жюри: определяют критерии оценивания Конкурса</w:t>
      </w:r>
      <w:r w:rsidR="002E30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соответствии с критериями оценивания ЦОР </w:t>
      </w:r>
      <w:r w:rsidR="002E3086" w:rsidRPr="002E3086"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shd w:val="clear" w:color="auto" w:fill="FFFFFF"/>
          <w:lang w:eastAsia="ru-RU"/>
        </w:rPr>
        <w:t>(Приложение 2</w:t>
      </w:r>
      <w:r w:rsidR="002E30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)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; проводят экспертизу представленных на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конкурс материалов, 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представляют в оргкомитет протоколы об итогах экспертизы; знакомят участников Конкурса с результатами, рассматривают апелляции. </w:t>
      </w:r>
    </w:p>
    <w:p w:rsidR="00582CEB" w:rsidRPr="004419F8" w:rsidRDefault="005936E9" w:rsidP="00E30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2.7. Ответственность за соблюдение требований по обеспечению информационной безопасности несет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каждый участник конкурса</w:t>
      </w: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582CEB" w:rsidRPr="004419F8" w:rsidRDefault="005936E9" w:rsidP="00E30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2.8. Победителем Конкурса в каждой номинации признается участник, набравший наибольшее количество баллов. Призерами считаются участники, стоящие на 2 и 3 местах по рейтингу баллов. </w:t>
      </w:r>
    </w:p>
    <w:p w:rsidR="001E1A08" w:rsidRPr="004419F8" w:rsidRDefault="002E3086" w:rsidP="00E30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2.9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На заключительном этапе к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онкурс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проходит 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убличная презентация 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разработанных </w:t>
      </w:r>
      <w:r w:rsidR="00E30831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цифровых образовательных ресурсов</w:t>
      </w:r>
      <w:r w:rsidR="00582CEB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 указанием возможностей их применения </w:t>
      </w:r>
      <w:r w:rsidR="005936E9" w:rsidRPr="004419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(5-7 мин). 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831" w:rsidRPr="004419F8" w:rsidRDefault="0035617C" w:rsidP="00356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ТРЕБОВАНИЯ К КОНКУРСНЫМ МАТЕРИАЛАМ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конкурсе принимаются только авторские материалы, выполненные в любом из предложенных форматов (.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html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htm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pdf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doc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rtf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txt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xls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ppt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pps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zip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rar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swf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wmv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mov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avi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mpg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mpeg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.mp4, .mp3,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wma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wav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jpg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jpeg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gif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png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bmp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.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tiff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электронное пособие сложной структуры;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интерактивные пособия;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учебно-методические комплексы к уроку;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тесты;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банк дидактических заданий и др.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Материалы, представленные на конкурс, должны отражать оригинальные идеи по формированию информационно-коммуникационной компетентности и внедрению средств ИКТ в образовательный процесс.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Представленные материалы должны отражать: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соответствие целям и задачам конкурса;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оригинальность идеи, наличие авторского подхода;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развивающий потенциал идеи;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технологичность;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рациональность идеи;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эстетику представленного материала.</w:t>
      </w:r>
    </w:p>
    <w:p w:rsidR="002E3086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файлы, относящиеся к одной разработке, помещаются в отдельную папку; графические файлы, используемые в ресурсе, должны быть оптимизированы. </w:t>
      </w:r>
    </w:p>
    <w:p w:rsidR="0035617C" w:rsidRDefault="0035617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831" w:rsidRPr="004419F8" w:rsidRDefault="0035617C" w:rsidP="00356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АВТОРСКИЕ ПРАВА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Подавая ЦОР на конкурс, участник гарантирует соблюдение Закона «Об авторских и смежных правах». Предоставляя материалы на конкурс, авторы автоматически дают право организаторам конкурса на использование ЦОР в некоммерческих целях (размещение на сайте школы, публикацию в печатных изданиях, использование на выставочных стендах) со ссылкой на авторство.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E30831" w:rsidRPr="004419F8" w:rsidRDefault="0035617C" w:rsidP="00356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ОЦЕНИВАНИЕ УЧАСТНИКОВ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Представленные на Конкурс материалы оцениваются по следующим критериям (шкала оценивания представлена в Приложении 1):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∙        наличие и качество сопроводительных материалов (см. Приложение </w:t>
      </w:r>
      <w:r w:rsidR="0072466C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педагогические требования: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содержание (качество и уникальность, логичность и последовательность изложения);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дидактические</w:t>
      </w:r>
      <w:proofErr w:type="gram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(научность, доступность, адаптивность, полнота);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методические (возможность дифференциации и индивидуализации обучения, интерактивность, реализация современных методов обработки информации);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эргономические требования: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учёт возрастных и индивидуальных особенностей учащихся;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обеспечивает ли  повышение уровня мотивации обучения, положительные стимулы при взаимодействии обучаемого с ЦОР;</w:t>
      </w:r>
    </w:p>
    <w:p w:rsidR="00E30831" w:rsidRPr="004419F8" w:rsidRDefault="0072466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редставление информации (качество текста, четкость изображений, цветовая гамма, расположение объектов на экране);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эстетические требования:</w:t>
      </w:r>
    </w:p>
    <w:p w:rsidR="00E30831" w:rsidRPr="004419F8" w:rsidRDefault="0072466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соответствие цветового колорита назначению и эргономическим требованиям;</w:t>
      </w:r>
    </w:p>
    <w:p w:rsidR="00E30831" w:rsidRPr="004419F8" w:rsidRDefault="0072466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сбалансированность информационного объема (текста и иллюстраций);</w:t>
      </w:r>
    </w:p>
    <w:p w:rsidR="00E30831" w:rsidRPr="004419F8" w:rsidRDefault="0072466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наглядность, оправданность применения графики, аудио, видео и т.д. (при наличии);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∙        технические требования:</w:t>
      </w:r>
    </w:p>
    <w:p w:rsidR="00E30831" w:rsidRPr="004419F8" w:rsidRDefault="0072466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устойчивость к ошибочным и некорректным действиям пользователя;</w:t>
      </w:r>
    </w:p>
    <w:p w:rsidR="00E30831" w:rsidRPr="004419F8" w:rsidRDefault="0072466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эффективность использования технических ресурсов современных технологий;</w:t>
      </w:r>
    </w:p>
    <w:p w:rsidR="00E30831" w:rsidRPr="004419F8" w:rsidRDefault="0072466C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30831"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простота, понятность, возможность применения любым педагогом.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Дополнительные критерии оценивания материалов по номинации «Нетрадиционные средства информационных технологий для реализации ФГОС»:</w:t>
      </w:r>
    </w:p>
    <w:p w:rsidR="00E30831" w:rsidRPr="004419F8" w:rsidRDefault="00E30831" w:rsidP="00E3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Наличие и качество методических рекомендаций по применению использованного при создании </w:t>
      </w:r>
      <w:proofErr w:type="spellStart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ЦОРа</w:t>
      </w:r>
      <w:proofErr w:type="spellEnd"/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4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новейше</w:t>
      </w:r>
      <w:r w:rsidR="00854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 средства </w:t>
      </w:r>
      <w:proofErr w:type="gramStart"/>
      <w:r w:rsidR="00854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</w:t>
      </w:r>
      <w:proofErr w:type="gramEnd"/>
      <w:r w:rsidR="00854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(см. Приложение 3</w:t>
      </w:r>
      <w:r w:rsidRPr="00441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72466C" w:rsidRPr="004419F8" w:rsidRDefault="0072466C" w:rsidP="001E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66C" w:rsidRDefault="0072466C" w:rsidP="001E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086" w:rsidRPr="004419F8" w:rsidRDefault="002E3086" w:rsidP="001E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086" w:rsidRPr="002E3086" w:rsidRDefault="002E3086" w:rsidP="002E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2E3086" w:rsidRDefault="002E3086" w:rsidP="002E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</w:t>
      </w:r>
    </w:p>
    <w:p w:rsidR="002E3086" w:rsidRDefault="002E3086" w:rsidP="002E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«Лучший</w:t>
      </w: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обучения и воспитания»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 Автор (полное название ФИО, места работы и должность)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  Название конкурсной работы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   Общая характеристика представленного материала: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 Целевые группы пользователей (учителя, ученики, родители, др.).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 Область применения (урочная деятельность, внеурочная деятельность и т.д.).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  Формы использования ЦОР (на уроке/занятии, при самостоятельном использовании учеником вне урока/занятия).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  Цели и задачи образовательного процесса, достигаемые/решаемые за счет использования разработанного ЦОР.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  Краткое описание технологии использования.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  Целесообразность разработки предлагаемых информационных источников и инструментов.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  Эффективность достижения образовательных результатов, новые образовательные результаты, которые могут быть обеспечены применением данного ЦОР.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  </w:t>
      </w:r>
      <w:proofErr w:type="gramStart"/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(на усмотрение автора).</w:t>
      </w:r>
      <w:proofErr w:type="gramEnd"/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аннотации: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        текстовый файл в электронном виде в формате WORD;</w:t>
      </w:r>
    </w:p>
    <w:p w:rsidR="002E3086" w:rsidRPr="002E3086" w:rsidRDefault="002E3086" w:rsidP="002E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         кегль 14, гарнитура </w:t>
      </w:r>
      <w:proofErr w:type="spellStart"/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межстрочный интервал 1,5.</w:t>
      </w:r>
    </w:p>
    <w:p w:rsidR="0072466C" w:rsidRPr="004419F8" w:rsidRDefault="0072466C" w:rsidP="001E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086" w:rsidRDefault="002E3086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A08" w:rsidRPr="00C4638B" w:rsidRDefault="002E3086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5617C" w:rsidRPr="00C4638B" w:rsidRDefault="0035617C" w:rsidP="001E1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A08" w:rsidRPr="004419F8" w:rsidRDefault="001E1A08" w:rsidP="001E1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оценивания ЦОР</w:t>
      </w:r>
    </w:p>
    <w:p w:rsidR="001E1A08" w:rsidRPr="004419F8" w:rsidRDefault="001E1A08" w:rsidP="001E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являются требования к содержанию, дидактические и методические требования. </w:t>
      </w: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случае несоответствия материала педагогическим требованиям (менее 10 баллов), оценка по другим группам требований не осуществляется</w:t>
      </w: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26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1245"/>
        <w:gridCol w:w="1276"/>
        <w:gridCol w:w="1397"/>
      </w:tblGrid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и качество сопроводительных материалов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есть, но соответствует не всем требованиям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есть и соответствует всем требованиям</w:t>
            </w:r>
          </w:p>
        </w:tc>
      </w:tr>
      <w:tr w:rsidR="001E1A08" w:rsidRPr="004419F8" w:rsidTr="0072466C">
        <w:tc>
          <w:tcPr>
            <w:tcW w:w="9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требования: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(качество и уникальность, логичность и последовательность изложения)</w:t>
            </w:r>
          </w:p>
        </w:tc>
        <w:tc>
          <w:tcPr>
            <w:tcW w:w="3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10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  <w:proofErr w:type="gramEnd"/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(научность, доступность, адаптивность, полнота)</w:t>
            </w:r>
          </w:p>
        </w:tc>
        <w:tc>
          <w:tcPr>
            <w:tcW w:w="3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5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(возможность дифференциации и индивидуализации обучения, интерактивность, реализация современных методов обработки информации)</w:t>
            </w:r>
          </w:p>
        </w:tc>
        <w:tc>
          <w:tcPr>
            <w:tcW w:w="3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5</w:t>
            </w:r>
          </w:p>
        </w:tc>
      </w:tr>
      <w:tr w:rsidR="002E3086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86" w:rsidRPr="004419F8" w:rsidRDefault="002E3086" w:rsidP="001E1A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применения для широкой аудитории</w:t>
            </w:r>
          </w:p>
        </w:tc>
        <w:tc>
          <w:tcPr>
            <w:tcW w:w="3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86" w:rsidRPr="004419F8" w:rsidRDefault="002E3086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5</w:t>
            </w:r>
          </w:p>
        </w:tc>
      </w:tr>
      <w:tr w:rsidR="001E1A08" w:rsidRPr="004419F8" w:rsidTr="0072466C">
        <w:tc>
          <w:tcPr>
            <w:tcW w:w="9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эргономические требования: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возрастных и индивидуальных особенностей учащихся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2E3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</w:t>
            </w:r>
            <w:r w:rsidR="002E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</w:t>
            </w:r>
            <w:r w:rsidR="002E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мотивации обучения, положительные стимулы при взаимодействии обучаемого с ЦОР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информации (качество текста, четкость изображений, цветовая гамма, расположение объектов на экране)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9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эстетические требования: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2E3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цветового колорита назначению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сбалансированность информационного объема (текста и иллюстраций)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наглядность, оправданность применения графики, аудио, видео и т.д. (при наличии)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9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технические требования: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 к ошибочным и некорректным действиям пользователя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 технических ресурсов современных технологий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  <w:tr w:rsidR="001E1A08" w:rsidRPr="004419F8" w:rsidTr="0072466C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08" w:rsidRPr="004419F8" w:rsidRDefault="001E1A08" w:rsidP="001E1A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простота, понятность, возможность применения любым педагогом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отсутствует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реализовано частично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08" w:rsidRPr="004419F8" w:rsidRDefault="001E1A08" w:rsidP="001E1A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реализовано в полной мере</w:t>
            </w:r>
          </w:p>
        </w:tc>
      </w:tr>
    </w:tbl>
    <w:p w:rsidR="0072466C" w:rsidRPr="004419F8" w:rsidRDefault="0072466C" w:rsidP="001E1A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2466C" w:rsidRPr="004419F8" w:rsidRDefault="0072466C" w:rsidP="0072466C">
      <w:pPr>
        <w:shd w:val="clear" w:color="auto" w:fill="FFFFFF"/>
        <w:spacing w:after="0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66C" w:rsidRPr="004419F8" w:rsidRDefault="0072466C" w:rsidP="0072466C">
      <w:pPr>
        <w:shd w:val="clear" w:color="auto" w:fill="FFFFFF"/>
        <w:spacing w:after="0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66C" w:rsidRDefault="0072466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617C" w:rsidRPr="0035617C" w:rsidRDefault="0035617C" w:rsidP="007246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2466C" w:rsidRPr="004419F8" w:rsidRDefault="0072466C" w:rsidP="007246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методических рекомендаций</w:t>
      </w:r>
    </w:p>
    <w:p w:rsidR="0072466C" w:rsidRPr="004419F8" w:rsidRDefault="0072466C" w:rsidP="007246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описание </w:t>
      </w:r>
      <w:r w:rsidR="002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</w:t>
      </w: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466C" w:rsidRPr="004419F8" w:rsidRDefault="0072466C" w:rsidP="007246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(полное без сокращений с указанием автора),</w:t>
      </w:r>
    </w:p>
    <w:p w:rsidR="0072466C" w:rsidRPr="004419F8" w:rsidRDefault="0072466C" w:rsidP="007246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возможности,</w:t>
      </w:r>
    </w:p>
    <w:p w:rsidR="0072466C" w:rsidRPr="004419F8" w:rsidRDefault="0072466C" w:rsidP="007246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 (свободное или лицензионное программное обеспечение с указанием сайта, на котором возможно скачать данное программное обеспечение).</w:t>
      </w:r>
    </w:p>
    <w:p w:rsidR="0072466C" w:rsidRPr="004419F8" w:rsidRDefault="0072466C" w:rsidP="007246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Подробное описание возможностей встраивания данного средства </w:t>
      </w:r>
      <w:proofErr w:type="gramStart"/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образовательный процесс (в урочную и внеурочную деятельность)</w:t>
      </w:r>
    </w:p>
    <w:p w:rsidR="0072466C" w:rsidRPr="004419F8" w:rsidRDefault="0072466C" w:rsidP="007246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Компетентности, которые данное средство </w:t>
      </w:r>
      <w:proofErr w:type="gramStart"/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44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развивать у учителя и у ученика.</w:t>
      </w:r>
    </w:p>
    <w:p w:rsidR="0072466C" w:rsidRDefault="0072466C" w:rsidP="00724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72466C" w:rsidRDefault="0072466C" w:rsidP="0072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66C" w:rsidRDefault="0072466C" w:rsidP="0072466C">
      <w:pPr>
        <w:shd w:val="clear" w:color="auto" w:fill="FFFFFF"/>
        <w:spacing w:after="0" w:line="240" w:lineRule="auto"/>
        <w:ind w:left="7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66C" w:rsidRPr="001E1A08" w:rsidRDefault="0072466C" w:rsidP="0072466C">
      <w:pPr>
        <w:shd w:val="clear" w:color="auto" w:fill="FFFFFF"/>
        <w:spacing w:after="0" w:line="240" w:lineRule="auto"/>
        <w:ind w:left="776" w:hanging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E1A08" w:rsidRDefault="001E1A08"/>
    <w:sectPr w:rsidR="001E1A08" w:rsidSect="0035617C">
      <w:headerReference w:type="default" r:id="rId8"/>
      <w:pgSz w:w="11906" w:h="16838"/>
      <w:pgMar w:top="426" w:right="566" w:bottom="1134" w:left="1276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A0" w:rsidRDefault="00A55EA0" w:rsidP="0035617C">
      <w:pPr>
        <w:spacing w:after="0" w:line="240" w:lineRule="auto"/>
      </w:pPr>
      <w:r>
        <w:separator/>
      </w:r>
    </w:p>
  </w:endnote>
  <w:endnote w:type="continuationSeparator" w:id="0">
    <w:p w:rsidR="00A55EA0" w:rsidRDefault="00A55EA0" w:rsidP="0035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A0" w:rsidRDefault="00A55EA0" w:rsidP="0035617C">
      <w:pPr>
        <w:spacing w:after="0" w:line="240" w:lineRule="auto"/>
      </w:pPr>
      <w:r>
        <w:separator/>
      </w:r>
    </w:p>
  </w:footnote>
  <w:footnote w:type="continuationSeparator" w:id="0">
    <w:p w:rsidR="00A55EA0" w:rsidRDefault="00A55EA0" w:rsidP="0035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326598"/>
      <w:docPartObj>
        <w:docPartGallery w:val="Page Numbers (Top of Page)"/>
        <w:docPartUnique/>
      </w:docPartObj>
    </w:sdtPr>
    <w:sdtEndPr/>
    <w:sdtContent>
      <w:p w:rsidR="0035617C" w:rsidRDefault="003561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38B">
          <w:rPr>
            <w:noProof/>
          </w:rPr>
          <w:t>7</w:t>
        </w:r>
        <w:r>
          <w:fldChar w:fldCharType="end"/>
        </w:r>
      </w:p>
    </w:sdtContent>
  </w:sdt>
  <w:p w:rsidR="0035617C" w:rsidRDefault="00356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580"/>
    <w:multiLevelType w:val="multilevel"/>
    <w:tmpl w:val="7F86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B4C28"/>
    <w:multiLevelType w:val="hybridMultilevel"/>
    <w:tmpl w:val="AE4C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8303C"/>
    <w:multiLevelType w:val="multilevel"/>
    <w:tmpl w:val="4EE8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53AA6"/>
    <w:multiLevelType w:val="multilevel"/>
    <w:tmpl w:val="6F4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E3C86"/>
    <w:multiLevelType w:val="multilevel"/>
    <w:tmpl w:val="1FAEB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CD"/>
    <w:rsid w:val="001E1A08"/>
    <w:rsid w:val="002E3086"/>
    <w:rsid w:val="0035617C"/>
    <w:rsid w:val="004419F8"/>
    <w:rsid w:val="004941D9"/>
    <w:rsid w:val="00541484"/>
    <w:rsid w:val="00582CEB"/>
    <w:rsid w:val="005936E9"/>
    <w:rsid w:val="0072466C"/>
    <w:rsid w:val="007864CF"/>
    <w:rsid w:val="008547D5"/>
    <w:rsid w:val="00A55EA0"/>
    <w:rsid w:val="00AB2E08"/>
    <w:rsid w:val="00BC0B89"/>
    <w:rsid w:val="00C4638B"/>
    <w:rsid w:val="00CE07CD"/>
    <w:rsid w:val="00E07F0F"/>
    <w:rsid w:val="00E3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E9"/>
    <w:pPr>
      <w:ind w:left="720"/>
      <w:contextualSpacing/>
    </w:pPr>
  </w:style>
  <w:style w:type="table" w:styleId="a4">
    <w:name w:val="Table Grid"/>
    <w:basedOn w:val="a1"/>
    <w:uiPriority w:val="59"/>
    <w:rsid w:val="007864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C"/>
  </w:style>
  <w:style w:type="paragraph" w:styleId="a9">
    <w:name w:val="footer"/>
    <w:basedOn w:val="a"/>
    <w:link w:val="aa"/>
    <w:uiPriority w:val="99"/>
    <w:unhideWhenUsed/>
    <w:rsid w:val="0035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E9"/>
    <w:pPr>
      <w:ind w:left="720"/>
      <w:contextualSpacing/>
    </w:pPr>
  </w:style>
  <w:style w:type="table" w:styleId="a4">
    <w:name w:val="Table Grid"/>
    <w:basedOn w:val="a1"/>
    <w:uiPriority w:val="59"/>
    <w:rsid w:val="007864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C"/>
  </w:style>
  <w:style w:type="paragraph" w:styleId="a9">
    <w:name w:val="footer"/>
    <w:basedOn w:val="a"/>
    <w:link w:val="aa"/>
    <w:uiPriority w:val="99"/>
    <w:unhideWhenUsed/>
    <w:rsid w:val="0035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Скурихина</dc:creator>
  <cp:lastModifiedBy>god-77</cp:lastModifiedBy>
  <cp:revision>3</cp:revision>
  <cp:lastPrinted>2021-11-26T04:25:00Z</cp:lastPrinted>
  <dcterms:created xsi:type="dcterms:W3CDTF">2021-11-29T10:20:00Z</dcterms:created>
  <dcterms:modified xsi:type="dcterms:W3CDTF">2021-11-30T02:56:00Z</dcterms:modified>
</cp:coreProperties>
</file>